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622FF1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626258872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3189C89E" w14:textId="77777777" w:rsidR="007D3D44" w:rsidRDefault="007D3D44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14:paraId="0DE218C3" w14:textId="77777777" w:rsidR="007D3D44" w:rsidRDefault="007D3D44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14:paraId="5EA544D5" w14:textId="77777777" w:rsidR="007D3D44" w:rsidRDefault="00F932FC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>CONSULT</w:t>
      </w:r>
      <w:r w:rsidR="006967AE">
        <w:rPr>
          <w:rFonts w:ascii="Garamond" w:hAnsi="Garamond"/>
          <w:b/>
          <w:sz w:val="28"/>
          <w:szCs w:val="28"/>
        </w:rPr>
        <w:t xml:space="preserve">ANCY SERVICES </w:t>
      </w:r>
      <w:r w:rsidR="007D3D44">
        <w:rPr>
          <w:rFonts w:ascii="Garamond" w:hAnsi="Garamond"/>
          <w:b/>
          <w:sz w:val="28"/>
          <w:szCs w:val="28"/>
        </w:rPr>
        <w:t xml:space="preserve">TO CONDUCT A </w:t>
      </w:r>
    </w:p>
    <w:p w14:paraId="6DD2DFEA" w14:textId="054E8D27" w:rsidR="006967AE" w:rsidRDefault="007D3D44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SOCIAL RETURN ON INVESTMENT</w:t>
      </w:r>
    </w:p>
    <w:p w14:paraId="0D744571" w14:textId="4DE5048D" w:rsidR="006967AE" w:rsidRDefault="006967AE" w:rsidP="00CD7348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 </w:t>
      </w:r>
    </w:p>
    <w:p w14:paraId="5D3FFD45" w14:textId="2AE99927" w:rsidR="00DD72B9" w:rsidRPr="00CD7348" w:rsidRDefault="00F932FC" w:rsidP="007D3D4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7348">
        <w:rPr>
          <w:rFonts w:ascii="Garamond" w:hAnsi="Garamond"/>
          <w:b/>
          <w:sz w:val="28"/>
          <w:szCs w:val="28"/>
        </w:rPr>
        <w:t xml:space="preserve"> </w:t>
      </w:r>
      <w:r w:rsidR="007D3D44">
        <w:rPr>
          <w:rFonts w:ascii="Times New Roman" w:hAnsi="Times New Roman"/>
          <w:b/>
          <w:bCs/>
          <w:sz w:val="28"/>
          <w:szCs w:val="28"/>
        </w:rPr>
        <w:t>BNTF CYCLES 5-9</w:t>
      </w:r>
    </w:p>
    <w:p w14:paraId="79CEE5CA" w14:textId="1E08AB54" w:rsidR="007F0648" w:rsidRPr="00F932FC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</w:t>
      </w:r>
      <w:proofErr w:type="gramStart"/>
      <w:r w:rsidRPr="00AD3517">
        <w:rPr>
          <w:rFonts w:ascii="Times New Roman" w:hAnsi="Times New Roman"/>
          <w:sz w:val="24"/>
          <w:lang w:val="en-US"/>
        </w:rPr>
        <w:t>:………………………….</w:t>
      </w:r>
      <w:proofErr w:type="gramEnd"/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56CE4DD3" w:rsidR="00325BC9" w:rsidRPr="00AD3517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</w:t>
      </w:r>
      <w:r w:rsidR="00B87185">
        <w:rPr>
          <w:rFonts w:ascii="Times New Roman" w:hAnsi="Times New Roman"/>
          <w:sz w:val="24"/>
          <w:lang w:val="en-US"/>
        </w:rPr>
        <w:t xml:space="preserve"> Oxford </w:t>
      </w:r>
      <w:r>
        <w:rPr>
          <w:rFonts w:ascii="Times New Roman" w:hAnsi="Times New Roman"/>
          <w:sz w:val="24"/>
          <w:lang w:val="en-US"/>
        </w:rPr>
        <w:t>Road,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>Firm</w:t>
      </w:r>
      <w:proofErr w:type="gramStart"/>
      <w:r>
        <w:rPr>
          <w:b/>
          <w:i/>
        </w:rPr>
        <w:t xml:space="preserve">,  </w:t>
      </w:r>
      <w:r w:rsidRPr="004A1E0C">
        <w:rPr>
          <w:b/>
          <w:i/>
        </w:rPr>
        <w:t>or</w:t>
      </w:r>
      <w:proofErr w:type="gramEnd"/>
      <w:r w:rsidRPr="004A1E0C">
        <w:rPr>
          <w:b/>
          <w:i/>
        </w:rPr>
        <w:t xml:space="preserve">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4E8E9B5A" w14:textId="77777777" w:rsidR="00F17758" w:rsidRDefault="00F17758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09DBEDFE" w:rsidR="000C6454" w:rsidRPr="000C6454" w:rsidRDefault="00240D0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Valid </w:t>
      </w:r>
      <w:r w:rsidR="000C6454" w:rsidRPr="000C6454">
        <w:rPr>
          <w:rFonts w:ascii="Times New Roman" w:hAnsi="Times New Roman"/>
          <w:sz w:val="24"/>
        </w:rPr>
        <w:t xml:space="preserve">Tax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ompliance </w:t>
      </w:r>
      <w:r>
        <w:rPr>
          <w:rFonts w:ascii="Times New Roman" w:hAnsi="Times New Roman"/>
          <w:sz w:val="24"/>
        </w:rPr>
        <w:t>C</w:t>
      </w:r>
      <w:r w:rsidR="000C6454" w:rsidRPr="000C6454">
        <w:rPr>
          <w:rFonts w:ascii="Times New Roman" w:hAnsi="Times New Roman"/>
          <w:sz w:val="24"/>
        </w:rPr>
        <w:t xml:space="preserve">ertificate </w:t>
      </w:r>
    </w:p>
    <w:p w14:paraId="5664068E" w14:textId="4608F5A4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>NB. Overseas Firms are not required to submit a TCC with the EOI, however, if recommended for award of contract, will be required to submit same</w:t>
      </w:r>
      <w:r w:rsidR="00CD7348">
        <w:rPr>
          <w:rFonts w:ascii="Times New Roman" w:hAnsi="Times New Roman"/>
          <w:b/>
          <w:sz w:val="24"/>
        </w:rPr>
        <w:t xml:space="preserve"> before contract award</w:t>
      </w:r>
      <w:r w:rsidRPr="008D5271">
        <w:rPr>
          <w:rFonts w:ascii="Times New Roman" w:hAnsi="Times New Roman"/>
          <w:b/>
          <w:sz w:val="24"/>
        </w:rPr>
        <w:t xml:space="preserve">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76257E3A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>Firm’s Organisational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="00F17758" w:rsidRPr="006967AE">
        <w:rPr>
          <w:rFonts w:ascii="Times New Roman" w:hAnsi="Times New Roman"/>
          <w:b/>
          <w:sz w:val="24"/>
          <w:u w:val="single"/>
        </w:rPr>
        <w:t>NO</w:t>
      </w:r>
      <w:r w:rsidRPr="006967AE">
        <w:rPr>
          <w:rFonts w:ascii="Times New Roman" w:hAnsi="Times New Roman"/>
          <w:sz w:val="24"/>
          <w:u w:val="single"/>
        </w:rPr>
        <w:t xml:space="preserve"> </w:t>
      </w:r>
      <w:r w:rsidRPr="006967AE">
        <w:rPr>
          <w:rFonts w:ascii="Times New Roman" w:hAnsi="Times New Roman"/>
          <w:b/>
          <w:sz w:val="24"/>
          <w:u w:val="single"/>
        </w:rPr>
        <w:t>CV</w:t>
      </w:r>
      <w:r w:rsidR="00424FEE" w:rsidRPr="006967AE">
        <w:rPr>
          <w:rFonts w:ascii="Times New Roman" w:hAnsi="Times New Roman"/>
          <w:b/>
          <w:sz w:val="24"/>
          <w:u w:val="single"/>
        </w:rPr>
        <w:t>s are</w:t>
      </w:r>
      <w:r w:rsidRPr="006967AE">
        <w:rPr>
          <w:rFonts w:ascii="Times New Roman" w:hAnsi="Times New Roman"/>
          <w:b/>
          <w:sz w:val="24"/>
          <w:u w:val="single"/>
        </w:rPr>
        <w:t xml:space="preserve"> required</w:t>
      </w:r>
      <w:r w:rsidR="00F70D7D" w:rsidRPr="006967AE">
        <w:rPr>
          <w:rFonts w:ascii="Times New Roman" w:hAnsi="Times New Roman"/>
          <w:b/>
          <w:sz w:val="24"/>
          <w:u w:val="single"/>
        </w:rPr>
        <w:t xml:space="preserve"> to be submitted</w:t>
      </w:r>
      <w:r w:rsidRPr="006967AE">
        <w:rPr>
          <w:rFonts w:ascii="Times New Roman" w:hAnsi="Times New Roman"/>
          <w:b/>
          <w:sz w:val="24"/>
          <w:u w:val="single"/>
        </w:rPr>
        <w:t xml:space="preserve"> at this stage</w:t>
      </w:r>
      <w:r w:rsidRPr="00B86136">
        <w:rPr>
          <w:rFonts w:ascii="Times New Roman" w:hAnsi="Times New Roman"/>
          <w:sz w:val="24"/>
        </w:rPr>
        <w:t>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60834AC" w14:textId="77777777" w:rsidR="006967AE" w:rsidRDefault="00B86136" w:rsidP="006967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t>Evaluation Criteria &amp; Sub-Criteria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818"/>
      </w:tblGrid>
      <w:tr w:rsidR="00622FF1" w14:paraId="73DC3FE6" w14:textId="77777777" w:rsidTr="00622FF1">
        <w:tc>
          <w:tcPr>
            <w:tcW w:w="8208" w:type="dxa"/>
          </w:tcPr>
          <w:p w14:paraId="53AA8FD6" w14:textId="48B0393D" w:rsidR="00622FF1" w:rsidRPr="00622FF1" w:rsidRDefault="00622FF1" w:rsidP="007D3D44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EXPRESSION OF INTEREST</w:t>
            </w:r>
          </w:p>
        </w:tc>
        <w:tc>
          <w:tcPr>
            <w:tcW w:w="1818" w:type="dxa"/>
          </w:tcPr>
          <w:p w14:paraId="515CE579" w14:textId="25FBC0EE" w:rsidR="00622FF1" w:rsidRPr="00622FF1" w:rsidRDefault="00622FF1" w:rsidP="00622FF1">
            <w:pPr>
              <w:spacing w:after="240" w:line="276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Weight</w:t>
            </w:r>
          </w:p>
        </w:tc>
      </w:tr>
      <w:tr w:rsidR="00622FF1" w14:paraId="61A43F29" w14:textId="77777777" w:rsidTr="00622FF1">
        <w:tc>
          <w:tcPr>
            <w:tcW w:w="8208" w:type="dxa"/>
          </w:tcPr>
          <w:p w14:paraId="5883505C" w14:textId="77777777" w:rsidR="00622FF1" w:rsidRDefault="00622FF1" w:rsidP="00622FF1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General Experience of the Consultancy Firm relevant to the assignment </w:t>
            </w:r>
          </w:p>
          <w:p w14:paraId="63769CFB" w14:textId="77777777" w:rsidR="00622FF1" w:rsidRPr="002734C3" w:rsidRDefault="00622FF1" w:rsidP="00622FF1">
            <w:pPr>
              <w:numPr>
                <w:ilvl w:val="1"/>
                <w:numId w:val="13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In operation and undertaking </w:t>
            </w:r>
            <w:bookmarkStart w:id="1" w:name="_Hlk523130643"/>
            <w:bookmarkStart w:id="2" w:name="_Hlk523130804"/>
            <w:r>
              <w:rPr>
                <w:rFonts w:ascii="Times New Roman" w:hAnsi="Times New Roman"/>
                <w:sz w:val="24"/>
                <w:lang w:eastAsia="en-GB"/>
              </w:rPr>
              <w:t xml:space="preserve"> cost benefit analysis, social return on investment 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research, </w:t>
            </w:r>
            <w:r>
              <w:rPr>
                <w:rFonts w:ascii="Times New Roman" w:hAnsi="Times New Roman"/>
                <w:sz w:val="24"/>
                <w:lang w:eastAsia="en-GB"/>
              </w:rPr>
              <w:t>economic modelling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bookmarkEnd w:id="1"/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assignments </w:t>
            </w:r>
            <w:bookmarkEnd w:id="2"/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for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over ten 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 (</w:t>
            </w:r>
            <w:r>
              <w:rPr>
                <w:rFonts w:ascii="Times New Roman" w:hAnsi="Times New Roman"/>
                <w:sz w:val="24"/>
                <w:lang w:eastAsia="en-GB"/>
              </w:rPr>
              <w:t>8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)  years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20 points</w:t>
            </w:r>
          </w:p>
          <w:p w14:paraId="587136F4" w14:textId="77777777" w:rsidR="00622FF1" w:rsidRPr="002734C3" w:rsidRDefault="00622FF1" w:rsidP="00622FF1">
            <w:pPr>
              <w:numPr>
                <w:ilvl w:val="1"/>
                <w:numId w:val="13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In operation and undertaking documentation, </w:t>
            </w:r>
            <w:r>
              <w:rPr>
                <w:rFonts w:ascii="Times New Roman" w:hAnsi="Times New Roman"/>
                <w:sz w:val="24"/>
                <w:lang w:eastAsia="en-GB"/>
              </w:rPr>
              <w:t>social return on investment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 research, communication assignments  for eight (8) to nine (9) years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15 points</w:t>
            </w:r>
          </w:p>
          <w:p w14:paraId="638C5ECD" w14:textId="0A560C74" w:rsidR="00622FF1" w:rsidRPr="00622FF1" w:rsidRDefault="00622FF1" w:rsidP="00622FF1">
            <w:pPr>
              <w:pStyle w:val="ListParagraph"/>
              <w:numPr>
                <w:ilvl w:val="1"/>
                <w:numId w:val="13"/>
              </w:numPr>
              <w:spacing w:after="240"/>
              <w:ind w:left="360"/>
              <w:jc w:val="both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 w:rsidRPr="00622FF1">
              <w:rPr>
                <w:rFonts w:ascii="Times New Roman" w:hAnsi="Times New Roman"/>
                <w:sz w:val="24"/>
                <w:lang w:eastAsia="en-GB"/>
              </w:rPr>
              <w:t xml:space="preserve">In operation and undertaking documentation, social return on investment research, communication assignments for five (5) to seven (7) years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10 points</w:t>
            </w:r>
          </w:p>
        </w:tc>
        <w:tc>
          <w:tcPr>
            <w:tcW w:w="1818" w:type="dxa"/>
          </w:tcPr>
          <w:p w14:paraId="1B1DCF3E" w14:textId="3E5185B5" w:rsidR="00622FF1" w:rsidRDefault="00622FF1" w:rsidP="00622FF1">
            <w:pPr>
              <w:spacing w:after="240" w:line="276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20 points</w:t>
            </w:r>
          </w:p>
        </w:tc>
      </w:tr>
      <w:tr w:rsidR="00622FF1" w14:paraId="57016712" w14:textId="77777777" w:rsidTr="00622FF1">
        <w:tc>
          <w:tcPr>
            <w:tcW w:w="8208" w:type="dxa"/>
          </w:tcPr>
          <w:p w14:paraId="67C96AF3" w14:textId="77777777" w:rsidR="00622FF1" w:rsidRDefault="00622FF1" w:rsidP="00622FF1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Specific Experience of the Firm </w:t>
            </w:r>
          </w:p>
          <w:p w14:paraId="2599B8CE" w14:textId="77777777" w:rsidR="00622FF1" w:rsidRPr="002734C3" w:rsidRDefault="00622FF1" w:rsidP="00622FF1">
            <w:pPr>
              <w:numPr>
                <w:ilvl w:val="1"/>
                <w:numId w:val="13"/>
              </w:numPr>
              <w:spacing w:after="240" w:line="276" w:lineRule="auto"/>
              <w:ind w:left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Undertaken five (5) or more similar assignments (i.e. SROI, Rapid Integrated Assessments,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Cost benefit Analysis 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Evaluations, Social </w:t>
            </w:r>
            <w:r>
              <w:rPr>
                <w:rFonts w:ascii="Times New Roman" w:hAnsi="Times New Roman"/>
                <w:sz w:val="24"/>
                <w:lang w:eastAsia="en-GB"/>
              </w:rPr>
              <w:t>Assessment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)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15 points</w:t>
            </w:r>
          </w:p>
          <w:p w14:paraId="15537481" w14:textId="77777777" w:rsidR="00622FF1" w:rsidRPr="002734C3" w:rsidRDefault="00622FF1" w:rsidP="00622FF1">
            <w:pPr>
              <w:numPr>
                <w:ilvl w:val="1"/>
                <w:numId w:val="13"/>
              </w:numPr>
              <w:spacing w:after="240" w:line="276" w:lineRule="auto"/>
              <w:ind w:left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Undertaken three (3) to four (4) similar assignments (i.e. SROI, Rapid Integrated Assessments, 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Cost benefit Analysis 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Evaluations, Social </w:t>
            </w:r>
            <w:r>
              <w:rPr>
                <w:rFonts w:ascii="Times New Roman" w:hAnsi="Times New Roman"/>
                <w:sz w:val="24"/>
                <w:lang w:eastAsia="en-GB"/>
              </w:rPr>
              <w:t>Assessment</w:t>
            </w:r>
            <w:r w:rsidRPr="002734C3">
              <w:rPr>
                <w:rFonts w:ascii="Times New Roman" w:hAnsi="Times New Roman"/>
                <w:sz w:val="24"/>
                <w:lang w:eastAsia="en-GB"/>
              </w:rPr>
              <w:t xml:space="preserve">) 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10 points</w:t>
            </w:r>
          </w:p>
          <w:p w14:paraId="7517E63A" w14:textId="3DA93F26" w:rsidR="00622FF1" w:rsidRPr="00622FF1" w:rsidRDefault="00622FF1" w:rsidP="00622FF1">
            <w:pPr>
              <w:pStyle w:val="ListParagraph"/>
              <w:numPr>
                <w:ilvl w:val="1"/>
                <w:numId w:val="13"/>
              </w:numPr>
              <w:spacing w:after="240"/>
              <w:ind w:left="360"/>
              <w:jc w:val="both"/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 w:rsidRPr="00622FF1">
              <w:rPr>
                <w:rFonts w:ascii="Times New Roman" w:hAnsi="Times New Roman"/>
                <w:sz w:val="24"/>
                <w:lang w:eastAsia="en-GB"/>
              </w:rPr>
              <w:t xml:space="preserve">Undertaken one (1) or two (2) similar assignments (i.e. SROI, Rapid Integrated Assessments, Cost benefit Analysis Evaluations, Social Assessment) 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5 points</w:t>
            </w:r>
          </w:p>
        </w:tc>
        <w:tc>
          <w:tcPr>
            <w:tcW w:w="1818" w:type="dxa"/>
          </w:tcPr>
          <w:p w14:paraId="30E83336" w14:textId="7E358F5A" w:rsidR="00622FF1" w:rsidRPr="00622FF1" w:rsidRDefault="00622FF1" w:rsidP="00622FF1">
            <w:pPr>
              <w:spacing w:after="240" w:line="276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15 point</w:t>
            </w:r>
            <w:bookmarkStart w:id="3" w:name="_GoBack"/>
            <w:bookmarkEnd w:id="3"/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s</w:t>
            </w:r>
          </w:p>
        </w:tc>
      </w:tr>
      <w:tr w:rsidR="00622FF1" w14:paraId="4BDE3D4E" w14:textId="77777777" w:rsidTr="00622FF1">
        <w:tc>
          <w:tcPr>
            <w:tcW w:w="8208" w:type="dxa"/>
          </w:tcPr>
          <w:p w14:paraId="55BD5B61" w14:textId="77777777" w:rsidR="00622FF1" w:rsidRPr="002734C3" w:rsidRDefault="00622FF1" w:rsidP="00622FF1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Scope of Experience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(5 points)</w:t>
            </w:r>
          </w:p>
          <w:p w14:paraId="75A9FB78" w14:textId="77777777" w:rsidR="00622FF1" w:rsidRPr="007D3D44" w:rsidRDefault="00622FF1" w:rsidP="00622FF1">
            <w:pPr>
              <w:pStyle w:val="ListParagraph"/>
              <w:numPr>
                <w:ilvl w:val="0"/>
                <w:numId w:val="20"/>
              </w:numPr>
              <w:spacing w:after="240"/>
              <w:ind w:left="360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7D3D44">
              <w:rPr>
                <w:rFonts w:ascii="Times New Roman" w:hAnsi="Times New Roman"/>
                <w:sz w:val="24"/>
                <w:lang w:eastAsia="en-GB"/>
              </w:rPr>
              <w:t xml:space="preserve">International/Regional/Local (have undertaken similar assignments locally, regionally and/or internationally)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5 points</w:t>
            </w:r>
          </w:p>
          <w:p w14:paraId="301D5410" w14:textId="313C1AF2" w:rsidR="00622FF1" w:rsidRPr="002734C3" w:rsidRDefault="00622FF1" w:rsidP="00622FF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 w:right="97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7D3D44">
              <w:rPr>
                <w:rFonts w:ascii="Times New Roman" w:hAnsi="Times New Roman"/>
                <w:sz w:val="24"/>
                <w:lang w:eastAsia="en-GB"/>
              </w:rPr>
              <w:t xml:space="preserve">Local (have undertaken similar assignments in Jamaica) - </w:t>
            </w:r>
            <w:r w:rsidRPr="00622FF1">
              <w:rPr>
                <w:rFonts w:ascii="Times New Roman" w:hAnsi="Times New Roman"/>
                <w:b/>
                <w:sz w:val="24"/>
                <w:lang w:eastAsia="en-GB"/>
              </w:rPr>
              <w:t>3 points</w:t>
            </w:r>
          </w:p>
        </w:tc>
        <w:tc>
          <w:tcPr>
            <w:tcW w:w="1818" w:type="dxa"/>
          </w:tcPr>
          <w:p w14:paraId="702EBB8F" w14:textId="5C677E84" w:rsidR="00622FF1" w:rsidRPr="00622FF1" w:rsidRDefault="00622FF1" w:rsidP="00622FF1">
            <w:pPr>
              <w:spacing w:after="240" w:line="276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5 points</w:t>
            </w:r>
          </w:p>
        </w:tc>
      </w:tr>
      <w:tr w:rsidR="00622FF1" w14:paraId="28B24E5A" w14:textId="77777777" w:rsidTr="00FA09BC">
        <w:tc>
          <w:tcPr>
            <w:tcW w:w="10026" w:type="dxa"/>
            <w:gridSpan w:val="2"/>
          </w:tcPr>
          <w:p w14:paraId="2EA5C639" w14:textId="22B458A3" w:rsidR="00622FF1" w:rsidRDefault="00622FF1" w:rsidP="007D3D44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FF1">
              <w:rPr>
                <w:rFonts w:ascii="Times New Roman" w:hAnsi="Times New Roman"/>
                <w:b/>
                <w:i/>
                <w:sz w:val="24"/>
                <w:lang w:eastAsia="en-GB"/>
              </w:rPr>
              <w:t>Minimum Qualifying Points – 35</w:t>
            </w:r>
          </w:p>
        </w:tc>
      </w:tr>
    </w:tbl>
    <w:p w14:paraId="16B15B91" w14:textId="3891BBC4" w:rsidR="00622FF1" w:rsidRPr="00622FF1" w:rsidRDefault="00622FF1" w:rsidP="007D3D44">
      <w:pPr>
        <w:spacing w:after="240" w:line="276" w:lineRule="auto"/>
        <w:jc w:val="both"/>
        <w:rPr>
          <w:rFonts w:ascii="Times New Roman" w:hAnsi="Times New Roman"/>
          <w:b/>
          <w:sz w:val="24"/>
          <w:u w:val="single"/>
          <w:lang w:eastAsia="en-GB"/>
        </w:rPr>
      </w:pPr>
    </w:p>
    <w:p w14:paraId="4571FB6C" w14:textId="77777777" w:rsidR="00622FF1" w:rsidRDefault="00622FF1" w:rsidP="00622FF1">
      <w:pPr>
        <w:pStyle w:val="Section3-Heading1"/>
        <w:jc w:val="left"/>
        <w:rPr>
          <w:sz w:val="28"/>
          <w:szCs w:val="28"/>
        </w:rPr>
      </w:pPr>
      <w:bookmarkStart w:id="4" w:name="_Toc172357883"/>
    </w:p>
    <w:p w14:paraId="40C72F15" w14:textId="77777777" w:rsidR="00622FF1" w:rsidRPr="00622FF1" w:rsidRDefault="00622FF1" w:rsidP="00622FF1">
      <w:pPr>
        <w:pStyle w:val="Section3-Heading1"/>
        <w:jc w:val="left"/>
        <w:rPr>
          <w:sz w:val="28"/>
          <w:szCs w:val="28"/>
        </w:rPr>
      </w:pPr>
    </w:p>
    <w:p w14:paraId="53F192E0" w14:textId="77777777" w:rsidR="007D3D44" w:rsidRDefault="007D3D44" w:rsidP="006159E5">
      <w:pPr>
        <w:pStyle w:val="Section3-Heading1"/>
        <w:rPr>
          <w:sz w:val="28"/>
          <w:szCs w:val="28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r w:rsidRPr="00AC441B">
        <w:rPr>
          <w:sz w:val="28"/>
          <w:szCs w:val="28"/>
        </w:rPr>
        <w:t>Form TECH-2: Consultant’s Organization and Experience</w:t>
      </w:r>
      <w:bookmarkEnd w:id="4"/>
    </w:p>
    <w:p w14:paraId="15879C72" w14:textId="77777777" w:rsidR="006159E5" w:rsidRDefault="008D5271" w:rsidP="006159E5">
      <w:pPr>
        <w:pStyle w:val="Section3-Heading2"/>
      </w:pPr>
      <w:bookmarkStart w:id="5" w:name="_Toc172357884"/>
      <w:r>
        <w:t>2</w:t>
      </w:r>
      <w:r w:rsidR="006159E5">
        <w:t>A - Consultant’s Organization</w:t>
      </w:r>
      <w:bookmarkEnd w:id="5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6" w:name="_Toc172357885"/>
      <w:r w:rsidR="008D5271">
        <w:rPr>
          <w:lang w:val="en-GB"/>
        </w:rPr>
        <w:t>2</w:t>
      </w:r>
      <w:r>
        <w:rPr>
          <w:lang w:val="en-GB"/>
        </w:rPr>
        <w:t>B - Consultant’s Experience</w:t>
      </w:r>
      <w:bookmarkEnd w:id="6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6967AE" w:rsidRDefault="006967AE" w:rsidP="000C6454">
      <w:r>
        <w:separator/>
      </w:r>
    </w:p>
  </w:endnote>
  <w:endnote w:type="continuationSeparator" w:id="0">
    <w:p w14:paraId="3F3AA06C" w14:textId="77777777" w:rsidR="006967AE" w:rsidRDefault="006967AE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27526022" w:rsidR="006967AE" w:rsidRDefault="006967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F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6967AE" w:rsidRDefault="0069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6967AE" w:rsidRDefault="006967AE" w:rsidP="000C6454">
      <w:r>
        <w:separator/>
      </w:r>
    </w:p>
  </w:footnote>
  <w:footnote w:type="continuationSeparator" w:id="0">
    <w:p w14:paraId="709EC389" w14:textId="77777777" w:rsidR="006967AE" w:rsidRDefault="006967AE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17C2A"/>
    <w:multiLevelType w:val="hybridMultilevel"/>
    <w:tmpl w:val="E80251FA"/>
    <w:lvl w:ilvl="0" w:tplc="79BEFD7A">
      <w:start w:val="56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C0613"/>
    <w:multiLevelType w:val="hybridMultilevel"/>
    <w:tmpl w:val="9C84F2B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A18720A"/>
    <w:multiLevelType w:val="hybridMultilevel"/>
    <w:tmpl w:val="5D30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B1573"/>
    <w:multiLevelType w:val="hybridMultilevel"/>
    <w:tmpl w:val="C4907F44"/>
    <w:lvl w:ilvl="0" w:tplc="5754B50A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1CB"/>
    <w:multiLevelType w:val="hybridMultilevel"/>
    <w:tmpl w:val="F51CC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5408"/>
    <w:multiLevelType w:val="hybridMultilevel"/>
    <w:tmpl w:val="D37E3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466A18"/>
    <w:multiLevelType w:val="hybridMultilevel"/>
    <w:tmpl w:val="41D018A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85BA1"/>
    <w:rsid w:val="00193C4E"/>
    <w:rsid w:val="001B5CCE"/>
    <w:rsid w:val="001D022C"/>
    <w:rsid w:val="001F7D1F"/>
    <w:rsid w:val="00206422"/>
    <w:rsid w:val="00231935"/>
    <w:rsid w:val="00240D04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0525"/>
    <w:rsid w:val="004C2748"/>
    <w:rsid w:val="004C5444"/>
    <w:rsid w:val="004D33BA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2FF1"/>
    <w:rsid w:val="006266CB"/>
    <w:rsid w:val="0063111E"/>
    <w:rsid w:val="00633E74"/>
    <w:rsid w:val="00662F18"/>
    <w:rsid w:val="00682EA4"/>
    <w:rsid w:val="006967AE"/>
    <w:rsid w:val="006A4F40"/>
    <w:rsid w:val="006A5A8A"/>
    <w:rsid w:val="007144B2"/>
    <w:rsid w:val="00733BDF"/>
    <w:rsid w:val="007354FC"/>
    <w:rsid w:val="00737E1C"/>
    <w:rsid w:val="00740E46"/>
    <w:rsid w:val="00791EBA"/>
    <w:rsid w:val="007A1177"/>
    <w:rsid w:val="007A729D"/>
    <w:rsid w:val="007B1A36"/>
    <w:rsid w:val="007B5150"/>
    <w:rsid w:val="007B5890"/>
    <w:rsid w:val="007D3D44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31BF"/>
    <w:rsid w:val="00B7627E"/>
    <w:rsid w:val="00B84587"/>
    <w:rsid w:val="00B86136"/>
    <w:rsid w:val="00B87185"/>
    <w:rsid w:val="00B90B35"/>
    <w:rsid w:val="00BB2199"/>
    <w:rsid w:val="00BD46F9"/>
    <w:rsid w:val="00BD7861"/>
    <w:rsid w:val="00BE7DDF"/>
    <w:rsid w:val="00C02C44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34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D72B9"/>
    <w:rsid w:val="00DE471E"/>
    <w:rsid w:val="00E03605"/>
    <w:rsid w:val="00E10C19"/>
    <w:rsid w:val="00E221F2"/>
    <w:rsid w:val="00E323D5"/>
    <w:rsid w:val="00E3275B"/>
    <w:rsid w:val="00E46E1C"/>
    <w:rsid w:val="00E56618"/>
    <w:rsid w:val="00E62F67"/>
    <w:rsid w:val="00E7576D"/>
    <w:rsid w:val="00ED42D5"/>
    <w:rsid w:val="00EE15A1"/>
    <w:rsid w:val="00EF51DA"/>
    <w:rsid w:val="00F00D7A"/>
    <w:rsid w:val="00F1019F"/>
    <w:rsid w:val="00F132E2"/>
    <w:rsid w:val="00F17758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32FC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767D-E3DB-4D9D-AB6F-4338CC3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Keisha Baker </cp:lastModifiedBy>
  <cp:revision>3</cp:revision>
  <cp:lastPrinted>2018-05-25T20:36:00Z</cp:lastPrinted>
  <dcterms:created xsi:type="dcterms:W3CDTF">2019-08-02T18:39:00Z</dcterms:created>
  <dcterms:modified xsi:type="dcterms:W3CDTF">2019-08-02T18:48:00Z</dcterms:modified>
</cp:coreProperties>
</file>